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499" w:rsidRDefault="00376499" w:rsidP="00CF1CD0">
      <w:pPr>
        <w:pStyle w:val="tkNazvanie"/>
        <w:tabs>
          <w:tab w:val="left" w:pos="7937"/>
        </w:tabs>
        <w:spacing w:before="0" w:after="0" w:line="240" w:lineRule="auto"/>
        <w:ind w:right="-2"/>
        <w:jc w:val="right"/>
        <w:rPr>
          <w:rFonts w:ascii="Times New Roman" w:hAnsi="Times New Roman" w:cs="Times New Roman"/>
        </w:rPr>
      </w:pPr>
      <w:r>
        <w:rPr>
          <w:rFonts w:ascii="Times New Roman" w:hAnsi="Times New Roman" w:cs="Times New Roman"/>
        </w:rPr>
        <w:t>Приложение 3</w:t>
      </w:r>
    </w:p>
    <w:p w:rsidR="00376499" w:rsidRDefault="00376499" w:rsidP="00CF1CD0">
      <w:pPr>
        <w:pStyle w:val="tkNazvanie"/>
        <w:tabs>
          <w:tab w:val="left" w:pos="7937"/>
        </w:tabs>
        <w:spacing w:before="0" w:after="0" w:line="240" w:lineRule="auto"/>
        <w:ind w:right="-2"/>
        <w:jc w:val="right"/>
        <w:rPr>
          <w:rFonts w:ascii="Times New Roman" w:hAnsi="Times New Roman" w:cs="Times New Roman"/>
        </w:rPr>
      </w:pPr>
      <w:r>
        <w:rPr>
          <w:rFonts w:ascii="Times New Roman" w:hAnsi="Times New Roman" w:cs="Times New Roman"/>
        </w:rPr>
        <w:t>к приказу ГСФР</w:t>
      </w:r>
    </w:p>
    <w:p w:rsidR="00376499" w:rsidRDefault="00376499" w:rsidP="00CF1CD0">
      <w:pPr>
        <w:pStyle w:val="tkNazvanie"/>
        <w:tabs>
          <w:tab w:val="left" w:pos="7797"/>
        </w:tabs>
        <w:spacing w:before="0" w:after="0" w:line="240" w:lineRule="auto"/>
        <w:ind w:right="-2"/>
        <w:jc w:val="right"/>
        <w:rPr>
          <w:rFonts w:ascii="Times New Roman" w:hAnsi="Times New Roman" w:cs="Times New Roman"/>
        </w:rPr>
      </w:pPr>
      <w:r>
        <w:rPr>
          <w:rFonts w:ascii="Times New Roman" w:hAnsi="Times New Roman" w:cs="Times New Roman"/>
        </w:rPr>
        <w:t>от 23 января 2017 года № 1/нпа</w:t>
      </w:r>
    </w:p>
    <w:p w:rsidR="00376499" w:rsidRDefault="00376499" w:rsidP="00CF1CD0">
      <w:pPr>
        <w:pStyle w:val="tkNazvanie"/>
        <w:spacing w:before="0" w:after="0" w:line="240" w:lineRule="auto"/>
        <w:jc w:val="right"/>
        <w:rPr>
          <w:rFonts w:ascii="Times New Roman" w:hAnsi="Times New Roman" w:cs="Times New Roman"/>
        </w:rPr>
      </w:pPr>
    </w:p>
    <w:p w:rsidR="00376499" w:rsidRDefault="00376499" w:rsidP="00CF1CD0">
      <w:pPr>
        <w:pStyle w:val="tkNazvanie"/>
        <w:spacing w:before="0" w:after="0" w:line="240" w:lineRule="auto"/>
        <w:ind w:right="-1"/>
        <w:jc w:val="right"/>
        <w:rPr>
          <w:rFonts w:ascii="Times New Roman" w:hAnsi="Times New Roman" w:cs="Times New Roman"/>
        </w:rPr>
      </w:pPr>
    </w:p>
    <w:p w:rsidR="0040156B" w:rsidRDefault="0040156B" w:rsidP="00CF1CD0">
      <w:pPr>
        <w:pStyle w:val="tkNazvanie"/>
        <w:spacing w:before="0" w:after="0" w:line="240" w:lineRule="auto"/>
        <w:rPr>
          <w:rFonts w:ascii="Times New Roman" w:hAnsi="Times New Roman" w:cs="Times New Roman"/>
        </w:rPr>
      </w:pPr>
      <w:r w:rsidRPr="0040156B">
        <w:rPr>
          <w:rFonts w:ascii="Times New Roman" w:hAnsi="Times New Roman" w:cs="Times New Roman"/>
        </w:rPr>
        <w:t>ПЕРЕЧЕНЬ</w:t>
      </w:r>
    </w:p>
    <w:p w:rsidR="0040156B" w:rsidRDefault="0040156B" w:rsidP="00CF1CD0">
      <w:pPr>
        <w:pStyle w:val="tkNazvanie"/>
        <w:spacing w:before="0" w:after="0" w:line="240" w:lineRule="auto"/>
        <w:rPr>
          <w:rFonts w:ascii="Times New Roman" w:hAnsi="Times New Roman" w:cs="Times New Roman"/>
        </w:rPr>
      </w:pPr>
      <w:r w:rsidRPr="0040156B">
        <w:rPr>
          <w:rFonts w:ascii="Times New Roman" w:hAnsi="Times New Roman" w:cs="Times New Roman"/>
        </w:rPr>
        <w:t>критериев (признаков) и справочник кодов подозрительных операций (сделок)</w:t>
      </w:r>
    </w:p>
    <w:p w:rsidR="00590064" w:rsidRPr="0040156B" w:rsidRDefault="00590064" w:rsidP="00CF1CD0">
      <w:pPr>
        <w:pStyle w:val="tkNazvanie"/>
        <w:spacing w:before="0" w:after="0" w:line="240" w:lineRule="auto"/>
        <w:rPr>
          <w:rFonts w:ascii="Times New Roman" w:hAnsi="Times New Roman" w:cs="Times New Roman"/>
        </w:rPr>
      </w:pPr>
    </w:p>
    <w:tbl>
      <w:tblPr>
        <w:tblW w:w="4771" w:type="pct"/>
        <w:tblCellMar>
          <w:left w:w="0" w:type="dxa"/>
          <w:right w:w="0" w:type="dxa"/>
        </w:tblCellMar>
        <w:tblLook w:val="04A0" w:firstRow="1" w:lastRow="0" w:firstColumn="1" w:lastColumn="0" w:noHBand="0" w:noVBand="1"/>
      </w:tblPr>
      <w:tblGrid>
        <w:gridCol w:w="594"/>
        <w:gridCol w:w="7698"/>
        <w:gridCol w:w="840"/>
      </w:tblGrid>
      <w:tr w:rsidR="0040156B" w:rsidRPr="0040156B" w:rsidTr="00376499">
        <w:tc>
          <w:tcPr>
            <w:tcW w:w="3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w:t>
            </w:r>
          </w:p>
        </w:tc>
        <w:tc>
          <w:tcPr>
            <w:tcW w:w="4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Критерии (признаки)</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Код</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1. При проведении банковских операций и операций (сделок) с денежными средствами в наличной форме и переводов денежных средств, а также при проведении международных расчетов и при осуществлении расчетов по пластиковым картам и интернет-банкингу:</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center"/>
              <w:rPr>
                <w:rFonts w:ascii="Times New Roman" w:hAnsi="Times New Roman" w:cs="Times New Roman"/>
                <w:sz w:val="24"/>
                <w:szCs w:val="24"/>
              </w:rPr>
            </w:pPr>
            <w:r w:rsidRPr="0040156B">
              <w:rPr>
                <w:rFonts w:ascii="Times New Roman" w:hAnsi="Times New Roman" w:cs="Times New Roman"/>
                <w:b/>
                <w:bCs/>
                <w:sz w:val="24"/>
                <w:szCs w:val="24"/>
              </w:rPr>
              <w:t>20000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открытие большого числа депозитных счетов одним клиентом, общая сумма денежных средств, на которых значительна, либо переводится на цели, нехарактерные для данного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получение физическим лицом денежных средств по чеку на предъявителя, выданному нерезидентом, либо по чеку, сумма которого объявлена как выигрыш независимо от суммы, указанной в чеке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обращение за кредитом под обеспечение депозитного сертификата или других инвестиционных инструментов, выданных иностранным банком, и происхождение которых неизвестно или которые не сопоставимы с предполагаемым уровнем доходов соответствующего клиента или оценка его финансового состояния не отражает необходимость в кредите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внесение третьими лицами наличных денежных средств на счета клиентов, чьи текущие операции обычно проводятся в безналичной форме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снятие или зачисление денежных средств наличными со счета или на счет, который до этого момента был неактивным или на который был произведен крупный перевод денежных средств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систематическое внесение денежных средств на один и тот же счет третьими лицами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перевод денежных средств на анонимный (номерной) счет (во вклад) за границу или поступление денежных средств с анонимного (номерного) счета (вклада) из-за границы</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депонирование средств на нескольких счетах с последующим объединением на одном счете для перевода заграницу</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зачисление на счет или списание со счета денежных средств клиентом, период хозяйственной деятельности которого не превышает одного месяца с момента его государственной регистрации либо операции по счетам которого не проводились в течение последних трех месяцев и более (по высокорискованным клиентам)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20009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осуществление резидентами - клиентами банков безналичных переводов денежных средств в пользу нерезидентов (особенно в случаях, когда юрисдикция нерезидента-контрагента по договору не совпадает с юрисдикцией банка-нерезидента, в котором открыт счет нерезидента-контрагента):</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 по договору об импорте работ, услуг и результатов интеллектуальной деятельности (особенно консультативных, маркетинговых, </w:t>
            </w:r>
            <w:r w:rsidRPr="0040156B">
              <w:rPr>
                <w:rFonts w:ascii="Times New Roman" w:hAnsi="Times New Roman" w:cs="Times New Roman"/>
                <w:sz w:val="24"/>
                <w:szCs w:val="24"/>
              </w:rPr>
              <w:lastRenderedPageBreak/>
              <w:t>компьютерных, рекламных услуг), по которым проведение расчетов осуществляется без одновременной уплаты налога на добавленную стоимость, а также по договорам перестрахования;</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по сделкам купли-продажи ценных бумаг (особенно векселей, а также акций, не обращающихся на организованном рынке ценных бумаг). При этом особое внимание необходимо уделять клиентам банков, у которых операции (сделки) с ценными бумагами носят в основном односторонний характер (покупка у нерезидентов);</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по договорам о поставке товаров, приобретаемых у нерезидентов на территории Кыргызской Республики, а также о поставке товаров, приобретаемых резидентами за пределами Кыргызской Республики и не пересекающих таможенную границу</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20010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проведение операций, связанных с неправомерным возмещением налога на добавленную стоимость при экспорте товаров, когда экспортная выручка, поступившая в пользу клиента, в течение этого же операционного дня возвращается нерезидентам в рамках исполнения иных обязательств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открытие в течение небольшого периода времени на имя одного клиента нескольких срочных депозитных счетов (кроме случаев, когда известно, что клиент, исходя из характера его деятельности, регулярно в течение определенного срока получает подобные суммы денежных средств), с последующим зачислением сумм по истечении срока вкладов (депозитов) на один счет и (или) последующим переводом в другую кредитную организацию</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зачисление на счет клиента значительного количества платежей от физических лиц через кассу кредитной организации, если деятельность клиента не связана с оказанием услуг населению, сбором обязательных или добровольных платежей</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зачисление денежных средств на счет клиента - юридического лица, операции по которому не производились в течение шести месяцев или были незначительными для данного клиента, с последующим снятием клиентом денежных средств в наличной форме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 зачисление на счет клиента денежных средств в наличной форме, в том числе на основании приходного кассового ордера, в результате продажи кредитной организации или инкассирования чеков, эмитированных международной платежной системой, предполагающих последующий акцепт (American Express, Thomas Cook и т.д.), с переводом всей или большей части суммы в течение одного операционного дня или следующего за ним дня на счет клиента, открытый в другой кредитной организации, или в пользу третьего лица, в том числе нерезидента (кроме разовых случаев)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 представление чеков, эмитированных кредитной организацией-нерезидентом и индоссированных нерезидентом, на инкассо, если подобный характер деятельности не соответствует известной деятельности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 связанное напрямую с деятельностью клиента неожиданное существенное увеличение "остатка" на счете, которое впоследствии переводится в другой банк или используется для покупки иностранной валюты (с переводом в пользу нерезидента), ценных бумаг на предъявителя</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значительное увеличение доли наличных денежных средств, </w:t>
            </w:r>
            <w:r w:rsidRPr="0040156B">
              <w:rPr>
                <w:rFonts w:ascii="Times New Roman" w:hAnsi="Times New Roman" w:cs="Times New Roman"/>
                <w:sz w:val="24"/>
                <w:szCs w:val="24"/>
              </w:rPr>
              <w:lastRenderedPageBreak/>
              <w:t>поступающих на счет клиента - юридического лица, если обычными для основной деятельности клиента являются расчеты в безналичной форме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20018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перевод денежных средств со счета клиента - юридического лица на его счет в другой банк без видимого основания (например, без закрытия счета, не в целях погашения кредита, полученного от другого банка, равные или более низкие ставки по вкладам, или равные либо худшие условия обслуживания в другой кредитной организации) с назначением платежа "перевод собственных средств"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20019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однократное использование клиентом счета для получения денежных средств с последующим их снятием в наличной форме с последующим закрытием счета либо прекращением по нему операций</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возврат клиентом-резидентом ранее уплаченного аванса нерезиденту (по договору поставки товаров (выполнения работ, оказания услуг) в случаях, когда операция резидента с нерезидентом носит разовый характер (не повторяется в течение, по меньшей мере, в течение шести месяцев) и (или) не связана с основной деятельностью клиента (на основании данных об основной деятельности клиента, имеющихся у кредитной организации)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уплата резидентом нерезиденту неустойки (пени, штрафа) за неисполнение договора поставки товаров (выполнения работ, оказания услуг) или за нарушение условий договора, если размер неустойки превышает десять процентов от суммы не поставленных товаров (невыполненных работ, не оказанных услуг)</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использование клиентом международных форм расчетов, не соответствующих характеру известной деятельности клиента (на основании данных об основной деятельности клиента, имеющихся в распоряжении банка)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перечисление денежных средств лицу, не указанному в договоре (контракте)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перевод средств резидентом, в пользу нерезидентов, зарегистрированных в оффшорный зоне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получение средств резидентом от субъектов, зарегистрированных в оффшорной зоне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перечисление клиентом денежных средств на общую сумму равной или превышающей 1000000 сом одному или нескольким контрагентам при покупке (продаже) товаров (работ, услуг) посредством сети Интернет с использованием банковской карты с предоставлением права на списание средств со счета клиента (в течение месяца)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настоятельное желание клиента работать самостоятельно с удаленного терминала; стремление клиента не вступать в личный контакт с банком или иными финансово-кредитными учреждениями, в том числе путем использования представителей (посредников), средств связи (Интернет, почта, телефон, факс и др.), позволяющих клиенту передавать поручения по осуществлению операций (сделок) без непосредственного контакта с банком или иными финансово-кредитными учреждениями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B9782E">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в случае если лицо осуществило перечисление денежных средств связанную с коммерческой деятельностью, на сумму превышающую порог </w:t>
            </w:r>
            <w:r w:rsidR="00B9782E">
              <w:rPr>
                <w:rFonts w:ascii="Times New Roman" w:hAnsi="Times New Roman" w:cs="Times New Roman"/>
                <w:sz w:val="24"/>
                <w:szCs w:val="24"/>
              </w:rPr>
              <w:t>8 млн.</w:t>
            </w:r>
            <w:bookmarkStart w:id="0" w:name="_GoBack"/>
            <w:bookmarkEnd w:id="0"/>
            <w:r w:rsidRPr="0040156B">
              <w:rPr>
                <w:rFonts w:ascii="Times New Roman" w:hAnsi="Times New Roman" w:cs="Times New Roman"/>
                <w:sz w:val="24"/>
                <w:szCs w:val="24"/>
              </w:rPr>
              <w:t xml:space="preserve"> сом в течение одного года, и при этом в течение одного месяца не становиться зарегистрированным плательщиком налога на добавленную стоимость (НДС) в налоговой службе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20029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в случае если лицо в период одного месяца осуществляет перечисление </w:t>
            </w:r>
            <w:r w:rsidRPr="0040156B">
              <w:rPr>
                <w:rFonts w:ascii="Times New Roman" w:hAnsi="Times New Roman" w:cs="Times New Roman"/>
                <w:sz w:val="24"/>
                <w:szCs w:val="24"/>
              </w:rPr>
              <w:lastRenderedPageBreak/>
              <w:t>денежных средств посредством быстрых денежных переводов без открытия счета, сумма переводов которого превышает или равна 1000000 сомов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20030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31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использование счетов, открытых в различных кредитных организациях, для расчетов в рамках одного договора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снятие со счета или зачисление на счет юридического лица денежных средств в наличной форме в случаях, если это не обусловлено характером его хозяйственной деятельности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 снятие наличных денежных средств через кассу банка или через банкомат держателем кредитной или дебетной карты, выпущенной зарубежными коммерческими банками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необычно частое использование банковского сейфа различными людьми, без видимых на то причин</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открытие счета и осуществление операций лицами без соответствующей регистрации в органах государственной власти Кыргызской Республики (за исключением оффшорных юрисдикции)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зачисление на счет клиента по одному основанию от одного или нескольких контрагентов сумм денежных средств, не превышающих по отдельности сумму, эквивалентную 1000000 сом, но в результате сложения (если бы денежные средства были зачислены на основании одного платежного документа) равную или превышающую указанную сумму с последующим переводом денежных средств на счет клиента, открытый в другой финансово-кредитной организации, или использованием денежных средств на покупку иностранной валюты, ценных бумаг и других высоколиквидных активов (при условии, что деятельность клиента не связана с обслуживанием населения, сбором обязательных или добровольных платежей, а также при условии, что данное дробление не обусловлено договорными обязательствами между клиентом и контрагентами)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перечисление в течение небольшого периода (14 рабочих дней) времени со счетов нескольких клиентов одному контрагенту по одному основанию денежных средств, не превышающих по отдельности сумму, эквивалентную 1000000 сом, но в результате сложения равную или превышающую указанную сумму (при условии, что деятельность клиента не связана с обслуживанием населения, сбором обязательных или добровольных платежей, а также при условии, что данное дробление не обусловлено договорными обязательствами между клиентами и контрагента)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зачисление в течение небольшого периода времени на счета нескольких клиентов от одного контрагента по одному основанию денежных средств, не превышающих по отдельности сумму, эквивалентную 1000000 сом, но в результате сложения превышающих указанную сумму (при условии, что деятельность клиентов не связана с обслуживанием населения, сбором обязательных или добровольных платежей, а также при условии, что данное дробление не обусловлено договорными обязательствами между клиентами и контрагента)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20038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дробление сумм денежных средств, перечисляемых клиентом одному или нескольким контрагентам по одному основанию, в течение небольшого периода времени (14 рабочих дней), при условии, что результат сложения перечисленных денежных средств (если бы денежные средства были зачислены на основании одного платежного </w:t>
            </w:r>
            <w:r w:rsidRPr="0040156B">
              <w:rPr>
                <w:rFonts w:ascii="Times New Roman" w:hAnsi="Times New Roman" w:cs="Times New Roman"/>
                <w:sz w:val="24"/>
                <w:szCs w:val="24"/>
              </w:rPr>
              <w:lastRenderedPageBreak/>
              <w:t>документа) равна или превышает сумму, эквивалентную 1000000 сом, если данные действия не обоснованы клиентом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20039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40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настаивание клиента на проведение расчетов с наличными денежными средствами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осуществление расчетов между сторонами сделки с использованием расчетных счетов третьих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перечисление денежных средств в адрес нерезидента по сделкам, связанным с оказанием информационно-консалтинговых и маркетинговых услуг, передачей результатов интеллектуальной деятельности, в том числе исключительных прав на них, и других видов услуг нематериального характера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открытие третьим лицом счетов на имя нескольких клиентов с правом распоряжения этими счетами, либо открытие счетов несколькими клиентами с правом распоряжения счетами по доверенности одним и тем же третьим лицом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наличие нестандартных или необычно сложных указаний по порядку проведения расчетов, отличающихся от обычной практики, используемой данным клиентом, или об обычной рыночной практики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регулярные поступления денежных средств на счета нескольких клиентов, дающих право распоряжения ими третьему лицу, с последующим объединением на одном счете (для дальнейшего перевода), либо снятием наличных средств третьим лицом (за исключением снятия денежных средств в наличной форме на оплату труда и компенсаций в соответствии с трудовым законодательством Кыргызской Республики, на уплату налогов, на выплату пенсий, стипендий, пособий и других обязательных социальных и других выплат, предусмотренных законодательством Кыргызской Республики)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зачисление или перевод на счет денежных средств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высокорискованном государстве (территории) либо одной из сторон является лицо, владеющее счетом в банке, зарегистрированном в высокорискованном государстве (территории)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 перечисление платежей финансовому агенту в рамках договора финансирования под уступку денежного требования клиентом или третьими лицами, не являющимися должниками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проведение обмена в банкнотах мелкого достоинства или обратная операция</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20048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операции (сделки) осуществляются в</w:t>
            </w:r>
            <w:r w:rsidR="00590064">
              <w:rPr>
                <w:rFonts w:ascii="Times New Roman" w:hAnsi="Times New Roman" w:cs="Times New Roman"/>
                <w:sz w:val="24"/>
                <w:szCs w:val="24"/>
              </w:rPr>
              <w:t xml:space="preserve"> целях финансирования террористической деятельности (экстремистской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операции (сделки) осуществляются в целях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20099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2. При проведении операций (сделок) по кредитным договорам: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30000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предоставление кредита под обеспечение исполнения обязательства по его возврату в виде размещения на счете, открытом в банке-кредиторе или другом банке, денежных средств в валюте кредита, иной валюте или ценных бумаг на предъявителя (по высокорискованным клиентам)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погашение просроченной задолженности по кредитному договору, если условия деятельности клиента, и имеющаяся информация в отношении </w:t>
            </w:r>
            <w:r w:rsidRPr="0040156B">
              <w:rPr>
                <w:rFonts w:ascii="Times New Roman" w:hAnsi="Times New Roman" w:cs="Times New Roman"/>
                <w:sz w:val="24"/>
                <w:szCs w:val="24"/>
              </w:rPr>
              <w:lastRenderedPageBreak/>
              <w:t>данного клиента не позволяют определить источник финансирования кредиторской задолженности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30002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53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предоставление кредита под залог драгоценных камней, включая кредитование под залог указанных ценностей, кроме случаев кредитования предприятий, производящих обработку драгоценных камней иностранного производства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предоставление кредита под обеспечение в виде гарантии банка-нерезидента на сумму, составляющую целое число (100 тысяч, 1 миллион и т.д.), при условии отсутствия очевидной связи между местом деятельности клиента и его контрагентов и местом нахождения гаранта, особенно если гарантия выдается филиалом банка-нерезидента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кредиты, обеспеченные залогами, расположенными на территории оффшорных зон или связанными с лицами, проживающими или зарегистрированными в оффшорных зонах</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информация, изложенная в заявлении клиента о предоставлении кредита, не соответствует информации и документам, полученным в ходе переговоров от представителей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погашение кредита клиента поступают денежные средства из источников не упомянутых клиентом или из неизвестных источников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кредитном договоре (договоре займа) предусмотрена уплата заемщиком-резидентом процентов и иных дополнительных платежей в пользу кредитора-нерезидента, в совокупности превышающих в год 30 процентов от основной суммы кредита (займа)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предоставление или получение кредита (займа) с процентной ставкой, существенно превышающий среднюю процентную ставку по кредитам на внутреннем и внешнем рынках</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30009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досрочное погашение клиентом (или третьими лицами) кредита (займа) на сумму равной или превышающей 1000000 сом ранее установленного срока по кредитному договору, без объяснения источника происхождения денежных средств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заключение договора лизинга (сублизинга), когда продавцом предмета лизинга и лизингополучателем выступает одно и то же лицо</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получение кредита, в условиях которого залоговым обеспечением являются государственные (муниципальные) ценные бумаги (государственные (муниципальные) казначейские векселя, государственные (муниципальные) казначейские облигации и т.д.)</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получение кредита, в условиях которого залоговым обеспечением являются активы (недвижимость, акции, нематериальные активы и т.д.) принадлежащие государственному или муниципальному предприятию</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получение кредита, в условиях которого залоговым обеспечением являются активы (недвижимость, акции, нематериальные активы и т.д.) принадлежащие организации или учреждению, полным или частичным бенефициаром которого выступает государство или муниципалитет</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предоставление или получение кредита (займа)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высокорискованном государстве (территории) либо одной из сторон является лицо, владеющее счетом в банке, зарегистрированном в высокорискованном государстве (территории)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предоставление или погашение кредита, займа или ссуды лицами без соответствующей регистрации в органах государственной власти </w:t>
            </w:r>
            <w:r w:rsidRPr="0040156B">
              <w:rPr>
                <w:rFonts w:ascii="Times New Roman" w:hAnsi="Times New Roman" w:cs="Times New Roman"/>
                <w:sz w:val="24"/>
                <w:szCs w:val="24"/>
              </w:rPr>
              <w:lastRenderedPageBreak/>
              <w:t>Кыргызской Республики (за исключением оффшорных юрисдикции)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30016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67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предоставление юридическим лицом, не являющимся финансово-кредитной организацией, беспроцентного займа физическому лицу и (или) другому юридическому лицу, а также получение такого займа, процентная ставка по которому более чем в два раза ниже, устанавливаемой другими финансово-кредитными организациями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30017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операции (сделки) осуществляются в</w:t>
            </w:r>
            <w:r w:rsidR="00D47FCD">
              <w:rPr>
                <w:rFonts w:ascii="Times New Roman" w:hAnsi="Times New Roman" w:cs="Times New Roman"/>
                <w:sz w:val="24"/>
                <w:szCs w:val="24"/>
              </w:rPr>
              <w:t xml:space="preserve"> целях финансирования террористической деятельности (экстремистской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операции (сделки) осуществляются в целях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30099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3. При проведении операции (сделки) по страхованию:</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40000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возврат страховой премии на сумму меньше суммы, эквивалентной 1000000 сом, при досрочном расторжении клиентом договора добровольного страхования, если денежные средства переводятся из другой финансово-кредитной организации, в том числе финансово-кредитной организации-нерезидента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предложение клиента существенно (более чем в два раза) увеличить размер страховой суммы, с соответствующим увеличением размера страховой премии, по действующему договору страхования жизни или иному виду накопительного страхования, заключенному юридическим и физическим лицом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многократное (частое) внесение изменений в договор страхования в связи с заменой страхователя, застрахованного, бенефициарного собственника (выгодоприобретателя)</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периодическое заключение клиентом двух и более договоров страхования жизни в пользу третьего лица сроком до пяти лет</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операции (сделки) перестрахования с участием зарубежных перестраховщиков, зарегистрированных в высокорискованном государстве (территории), связанные с передачей страховой премии по договорам перестрахования</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 договору страхования:</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клиент заключает договоры страхования с организациями, находящимися за пределами региона его места жительства (регистрации);</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клиент обращается к страховщику с предложением о расширении в договоре страхования страхового покрытия рисков, выходящих за рамки его обычной деятельности;</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при обращении клиент беспокоится о возможности досрочного прекращения договора страхования, а не о выполнении условий полиса (договора);</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клиент заключает договоры страхования, сумма уплачиваемых страховых премий по которым очевидно превышает его платежеспособность;</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предоставление или получение страховой услуги с тарифной ставкой, которая более чем в 2 раза превышает среднюю тарифную ставку по аналогичной услуге на внутреннем рынке страхования</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40006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сделки осуществляются в</w:t>
            </w:r>
            <w:r w:rsidR="00D47FCD">
              <w:rPr>
                <w:rFonts w:ascii="Times New Roman" w:hAnsi="Times New Roman" w:cs="Times New Roman"/>
                <w:sz w:val="24"/>
                <w:szCs w:val="24"/>
              </w:rPr>
              <w:t xml:space="preserve"> целях финансирования террористической деятельности (экстремистской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77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40099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4. При проведении сделки с ценными бумагами: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50000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совершение одной сделки (операций) или нескольких сделок (операций) с ценными бумагами на общую сумму 1000000 сомов, за счет внесенных клиентом в кассу профессионального участника рынка ценных бумаг единовременно или по частям наличных денежных средств в размере равном или большем 1000000 сомов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совершение на основании адресных заявок сделки (операции) на сумму равной или превышающей 1000000 сом, в которой профессиональный участник рынка ценных бумаг или его клиенты одновременно являются продавцом и покупателем ценных бумаг (кросс-сделки)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совершение (за свой счет или за счет клиента) взаимных сделок (операций), когда стороны таких сделок (операций) (профессиональный участник рынка ценных бумаг или их клиенты) регулярно меняются, выступая в качестве то продавцов, то покупателей, приобретая/продавая при этом единовременно или по частям одни и те же ценные бумаги и/или финансовые инструменты примерно одного и того же объема (в случае совершения взаимных сделок на внебиржевом рынке и/или через организаторов торговли на основании двух адресных заявок)</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 заключение клиентом срочных сделок на рынке ценных бумаг или использование других производных финансовых инструментов (фьючерсный контракт), особенно не предусматривающих поставки базового актива, в операциях (сделках) с одним или несколькими контрагентами, результатом чего является постоянный доход или убыток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совершение единичных покупок/продаж клиентом крупных пакетов на сумму не менее 1000000 сом, не обращающихся через организаторов торговли ценных бумаг, по ценам, существенно отличающимся от рыночных цен</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осуществление регулярных операций (сделок) на сумму равной или превышающей 1000000 сом по покупке с последующей продажей ценных бумаг, не имеющих рыночных котировок и не обращающихся через организаторов торговли ценных бумаг, с направлением дохода на приобретение высоколиквидных ценных бумаг</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осуществление купли-продажи по одним и тем же ценным бумагам, на одной и той же торговой площадке по ценам, существенно отличающимся от текущих рыночных цен, на другой торговой площадке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 заключение клиентом срочных сделок или использование других производных финансовых инструментов, особенно не предусматривающих поставки базового актива, в операциях с одним или несколькими контрагентами, результатом чего является постоянный доход или постоянный убыток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регулярные операции (сделки) по покупке с последующей продажей ценных бумаг, не имеющих котировок и не обращающихся на организованном рынке ценных бумаг, при условии, что доход от реализации ценных бумаг направляется на приобретение высоколиквидных обращающихся на организованном рынке ценных бумаг (определяется в момент удовлетворения заявки на приобретение ценных бумаг, обращающихся на организованном рынке ценных бумаг)</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50009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87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одновременное выставление клиентом поручений на покупку и продажу ценных бумаг и других финансовых инструментов по ценам, имеющим заметное отклонение от текущих рыночных цен по аналогичным сделкам (операциям)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разовая продажа (покупка) клиентом большого пакета не обращающихся на организованном рынке ценных бумаг, финансовых инструментов по ценам, существенно отличающимся от рыночных, при условии, что клиент не является профессиональным участником рынка ценных бумаг и ценные бумаги не передаются клиенту в погашение просроченной задолженности контрагента перед клиентом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совершение профессиональным участником рынка ценных бумаг за свой счет или за счет клиента:</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на внебиржевом рынке и/или через организаторов торговли на рынке ценных бумаг (далее - организаторы торговли) на основании двух адресных заявок сделок с ценными бумагами и/или иными финансовыми инструментами на сумму не менее 1000000 сомов каждая в которых покупатель и продавец действуют в интересах одного и того же бенефициарного собственника;</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сделок по покупке и продаже единовременно или по частям одних и тех же ценных бумаг примерно одного и того же объема в течение одного торгового дня при условии, что цена сделки по продаже ниже или равна цене сделки по покупке, а рыночная цена ценной бумаги по итогам этого же торгового дня не может быть определена;</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сделок купли-продажи ценных бумаг и/или иных финансовых инструментов с одним контрагентом, результатом которых является прибыль или убыток соответствующего профессионального участника рынка ценных бумаг или его клиента в совокупном размере 1000000 и более сомов (в случае совершения сделок на внебиржевом рынке и/или через организаторов торговли на основании двух адресных заявок);</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сделки купли-продажи ценных бумаг, не обращающихся через организаторов торговли, по цене, существенно отличающейся от цены хотя бы в одной из сделок по этой ценной бумаге, совершенных профессиональным участником рынка ценных бумаг на внебиржевом рынке за последние 30 дней, предшествующих дате заключения рассматриваемой сделки;</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сделки купли-продажи ценных бумаг, обращающихся через организаторов торговли, на внебиржевом рынке или через организатора торговли на основании двух адресных заявок по цене, существенно отличающейся от рыночной цены такой ценной бумаги, рассчитанной на конец того торгового дня, в который она была совершена;</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одной или нескольких сделок купли-продажи ценных бумаг и/или иных финансовых инструментов, в отношении которых имеется подозрение, что они совершаются с использованием инсайдерской информации и/или в целях манипулирования ценами на рынке ценных бумаг;</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операций РЕПО с ценными бумагами (сделки РЕПО), в которых цена второй части сделки РЕПО равна цене первой части сделки РЕПО (ставка РЕПО равна 0%) (либо совершение аналогичной по смыслу пары сделок по покупке и продаже ценных бумаг одного и того же количества с одним и тем же контрагентом при условии равенства цен)</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регулярное:</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 совершение операций, связанных с фиксацией прав собственности на </w:t>
            </w:r>
            <w:r w:rsidRPr="0040156B">
              <w:rPr>
                <w:rFonts w:ascii="Times New Roman" w:hAnsi="Times New Roman" w:cs="Times New Roman"/>
                <w:sz w:val="24"/>
                <w:szCs w:val="24"/>
              </w:rPr>
              <w:lastRenderedPageBreak/>
              <w:t>ценные бумаги, с одними и теми же ценными бумагами примерно в одном и том же объеме, в которых попеременно одни и те же лица выступают в качестве лиц, их отчуждающих и приобретающих, за исключением биржевых операций (сделок) РЕПО;</w:t>
            </w:r>
          </w:p>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зачисление на лицевой счет (счет депо) и списание с лицевого счета (счета депо) одних и тех же ценных бумаг примерно в одном и том же объеме или одного и того же количества одних и тех же ценных бумаг, в случае, если их количество на начало и на конец операционного дня одно и то же (за исключением биржевых операций и сделок РЕПО)</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50013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91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операции с ценными бумагами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высокорискованном государстве (территории) либо одной из сторон является лицо, владеющее счетом в банке, зарегистрированном в высокорискованном государстве (территории)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50014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сделки осуществляются в</w:t>
            </w:r>
            <w:r w:rsidR="00D47FCD">
              <w:rPr>
                <w:rFonts w:ascii="Times New Roman" w:hAnsi="Times New Roman" w:cs="Times New Roman"/>
                <w:sz w:val="24"/>
                <w:szCs w:val="24"/>
              </w:rPr>
              <w:t xml:space="preserve"> целях финансирования террористической деятельности</w:t>
            </w:r>
            <w:r w:rsidRPr="0040156B">
              <w:rPr>
                <w:rFonts w:ascii="Times New Roman" w:hAnsi="Times New Roman" w:cs="Times New Roman"/>
                <w:sz w:val="24"/>
                <w:szCs w:val="24"/>
              </w:rPr>
              <w:t xml:space="preserve"> (</w:t>
            </w:r>
            <w:r w:rsidR="00D47FCD">
              <w:rPr>
                <w:rFonts w:ascii="Times New Roman" w:hAnsi="Times New Roman" w:cs="Times New Roman"/>
                <w:sz w:val="24"/>
                <w:szCs w:val="24"/>
              </w:rPr>
              <w:t>экстремистской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50099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5. При проведении операции (сделки) с использованием платежных средств и лотереи: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60000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использование в качестве средств платежа поддельных расчетных и кредитных банковских карт или иных платежных документов, не являющихся ценными бумагами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подозрение на использование в качестве средств платежа, изъятых из оборота расчетных и кредитных банковских карт или иных платежных документов, не являющихся ценными бумагами (заблокированные владельцами банковские карты)</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подозрение в использовании в качестве средств платежа поддельных банковских билетов или иностранной валюты (использование поддельных наличных денежных средств)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подозрение на предъявление поддельных лотерейных билетов при выигрыше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сделки осуществляются в</w:t>
            </w:r>
            <w:r w:rsidR="00D47FCD">
              <w:rPr>
                <w:rFonts w:ascii="Times New Roman" w:hAnsi="Times New Roman" w:cs="Times New Roman"/>
                <w:sz w:val="24"/>
                <w:szCs w:val="24"/>
              </w:rPr>
              <w:t xml:space="preserve"> целях финансирования террористической деятельности</w:t>
            </w:r>
            <w:r w:rsidRPr="0040156B">
              <w:rPr>
                <w:rFonts w:ascii="Times New Roman" w:hAnsi="Times New Roman" w:cs="Times New Roman"/>
                <w:sz w:val="24"/>
                <w:szCs w:val="24"/>
              </w:rPr>
              <w:t xml:space="preserve"> (</w:t>
            </w:r>
            <w:r w:rsidR="00D47FCD" w:rsidRPr="0040156B">
              <w:rPr>
                <w:rFonts w:ascii="Times New Roman" w:hAnsi="Times New Roman" w:cs="Times New Roman"/>
                <w:sz w:val="24"/>
                <w:szCs w:val="24"/>
              </w:rPr>
              <w:t>экстреми</w:t>
            </w:r>
            <w:r w:rsidR="00D47FCD">
              <w:rPr>
                <w:rFonts w:ascii="Times New Roman" w:hAnsi="Times New Roman" w:cs="Times New Roman"/>
                <w:sz w:val="24"/>
                <w:szCs w:val="24"/>
              </w:rPr>
              <w:t>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60099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6. При проведении операции (сделки) в ломбардах и организациях, осуществляющих куплю-продажу драгоценных металлов и драгоценных камней, ювелирных изделий из них и лома таких изделий:</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70000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систематическая сдача в залог ювелирных изделий или других ценностей без последующего выкупа (неоднократное получение ссуды под залог).</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сдача на комиссию, под залог или в скупку ювелирных изделий из драгоценных металлов и драгоценных камней с признаками фальшивых оттисков пробирных клейм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сдача на комиссию, под залог или в скупку ювелирных изделий из драгоценных металлов и драгоценных камней без оттисков пробирных клейм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103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перечисление, по поручению клиента, денежных средств за реализованные драгоценные металлы и драгоценные камни, ювелирные изделия из них и лом таких изделий на счета третьих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неоднократное (2 и более раз в год) помещение физическим лицом имущества в ломбард, осуществляемое на территории регионов Кыргызской Республики, не соответствующего месту регистрации физического лица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систематическая сдача на комиссию, под залог или в скупку физическим лицом нескольких ювелирных изделий и/или однотипных ювелирных изделий, либо группой лиц однотипных ювелирных изделий, в том числе имеющих товарные бирки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систематическое приобретение физическим лицом нескольких ювелирных или других бытовых изделий из драгоценных металлов и/или драгоценных камней (однотипных изделий) и/или сертифицированных драгоценных камней</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реализация продукции (прутьев, стержней, проволоки, пластин, полос, листов и т.п.), произведенной из стандартных и/или мерных слитков аффинированных драгоценных металлов без изменения химического состава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получение партии (партий) ювелирных и/или других бытовых изделий из драгоценных металлов и драгоценных камней с возможно фальшивыми оттисками пробирных клейм, с незарегистрированными оттисками именников производителей и/или без оттисков государственных пробирных клейм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70009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109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финансирования </w:t>
            </w:r>
            <w:r w:rsidR="00D47FCD">
              <w:rPr>
                <w:rFonts w:ascii="Times New Roman" w:hAnsi="Times New Roman" w:cs="Times New Roman"/>
                <w:sz w:val="24"/>
                <w:szCs w:val="24"/>
              </w:rPr>
              <w:t>террористической деятельности (экстремистской деятельности)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70099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7. При проведении операции (сделки) в организациях почтовой связи: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80000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клиент - юридическое лицо намеревается заключить договор об осуществлении переводов денежных средств с организацией почтовой связи (филиалом организации), расположенной в областях или районах (в городах, селах) Кыргызской Республики фактического осуществления деятельности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характер деятельности клиента - юридического лица, являющегося отправителем почтовых переводов денежных средств, не предполагает постоянного (регулярного) перечисления почтовых переводов денежных средств в адрес физических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несоответствие объема почтовых переводов денежных средств, перечисляемых через организацию почтовой связи (филиал организации) назначению платежа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неоднократное осуществление почтовых переводов денежных средств одним или несколькими юридическими лицами в адрес одного или нескольких физических лиц в крупных объемах</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финансирования </w:t>
            </w:r>
            <w:r w:rsidR="00D47FCD">
              <w:rPr>
                <w:rFonts w:ascii="Times New Roman" w:hAnsi="Times New Roman" w:cs="Times New Roman"/>
                <w:sz w:val="24"/>
                <w:szCs w:val="24"/>
              </w:rPr>
              <w:t xml:space="preserve">террористической деятельности (экстремистской деятельности) </w:t>
            </w:r>
            <w:r w:rsidRPr="0040156B">
              <w:rPr>
                <w:rFonts w:ascii="Times New Roman" w:hAnsi="Times New Roman" w:cs="Times New Roman"/>
                <w:sz w:val="24"/>
                <w:szCs w:val="24"/>
              </w:rPr>
              <w:t xml:space="preserve">или легализации (отмывания)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сделки осуществляются в целях легализации (</w:t>
            </w:r>
            <w:r w:rsidR="00D47FCD" w:rsidRPr="0040156B">
              <w:rPr>
                <w:rFonts w:ascii="Times New Roman" w:hAnsi="Times New Roman" w:cs="Times New Roman"/>
                <w:sz w:val="24"/>
                <w:szCs w:val="24"/>
              </w:rPr>
              <w:t xml:space="preserve">отмывания) </w:t>
            </w:r>
            <w:r w:rsidR="00D47FCD">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80099</w:t>
            </w:r>
          </w:p>
        </w:tc>
      </w:tr>
      <w:tr w:rsidR="0040156B" w:rsidRPr="0040156B" w:rsidTr="00376499">
        <w:tc>
          <w:tcPr>
            <w:tcW w:w="454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lastRenderedPageBreak/>
              <w:t xml:space="preserve">8. Дополнительные признаки, свидетельствующие о возможности </w:t>
            </w:r>
            <w:r w:rsidR="00D47FCD" w:rsidRPr="0040156B">
              <w:rPr>
                <w:rFonts w:ascii="Times New Roman" w:hAnsi="Times New Roman" w:cs="Times New Roman"/>
                <w:b/>
                <w:bCs/>
                <w:sz w:val="24"/>
                <w:szCs w:val="24"/>
              </w:rPr>
              <w:t xml:space="preserve">финансирования </w:t>
            </w:r>
            <w:r w:rsidR="00D47FCD">
              <w:rPr>
                <w:rFonts w:ascii="Times New Roman" w:hAnsi="Times New Roman" w:cs="Times New Roman"/>
                <w:b/>
                <w:bCs/>
                <w:sz w:val="24"/>
                <w:szCs w:val="24"/>
              </w:rPr>
              <w:t xml:space="preserve">террористической деятельности (экстремистской деятельности) </w:t>
            </w:r>
            <w:r w:rsidRPr="0040156B">
              <w:rPr>
                <w:rFonts w:ascii="Times New Roman" w:hAnsi="Times New Roman" w:cs="Times New Roman"/>
                <w:b/>
                <w:bCs/>
                <w:sz w:val="24"/>
                <w:szCs w:val="24"/>
              </w:rPr>
              <w:t>и легализации (</w:t>
            </w:r>
            <w:r w:rsidR="00D47FCD" w:rsidRPr="0040156B">
              <w:rPr>
                <w:rFonts w:ascii="Times New Roman" w:hAnsi="Times New Roman" w:cs="Times New Roman"/>
                <w:b/>
                <w:bCs/>
                <w:sz w:val="24"/>
                <w:szCs w:val="24"/>
              </w:rPr>
              <w:t xml:space="preserve">отмывания) </w:t>
            </w:r>
            <w:r w:rsidR="00D47FCD">
              <w:rPr>
                <w:rFonts w:ascii="Times New Roman" w:hAnsi="Times New Roman" w:cs="Times New Roman"/>
                <w:b/>
                <w:bCs/>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b/>
                <w:bCs/>
                <w:sz w:val="24"/>
                <w:szCs w:val="24"/>
              </w:rPr>
              <w:t>90000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немотивированный отказ в предоставлении клиентом сведений, не предусмотренных нормативными правовыми актами Кыргызской Республики, но запрашиваемых в соответствии со сложившейся ситуацией и/или банковской практикой (в том числе о своем бенефициарном собственнике или выгодоприобретателе, в случае, когда клиент выступает в качестве представителя юридического или физического лица); излишняя озабоченность клиента вопросами конфиденциальности в отношении осуществляемой операции (сделки)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пренебрежение клиентом более выгодными условиями оказания услуг (тариф комиссионного вознаграждения и т.д.), а также предложение клиентом необычно высокой комиссии или комиссии, заведомо отличающейся от обычно взимаемой комиссии при оказании такого рода услуг</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119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предложение клиента осуществить возврат причитающейся суммы по расторгнутой сделке третьим лицам, в том числе на счет в банке-нерезиденте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внесение в операцию (сделку) дополнений и изменений, не соответствующих установившейся практике деятельности организации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необоснованная поспешность в проведении операции, на которой настаивает клиент</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внесение клиентом в ранее согласованную схему операции (сделки) непосредственно перед началом ее реализации значительных изменений, особенно касающихся направления движения денежных средств или иного имущества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передача клиентом поручения об осуществлении операции через представителя (посредника), если клиент непосредственно не участвовал в установлении деловых отношений с лицом, представляющим сведение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отсутствие информации о клиенте (юридическом лице, в том числе кредитной организации) в официальных справочных изданиях, а также невозможность осуществить связь с клиентом по указанным им адресам и телефонам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сложности, возникающие у лиц, представляющих сведения при проверке представляемых клиентом сведений, неоправданные задержки в предоставлении клиентом документов и информации, представление клиентом информации, которую невозможно проверить или данная проверка является слишком дорогостоящей</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90009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невозможность установления контрагентов клиента из доступных источников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лицо, представляющее сведение располагает данными о том, что информация, представленная клиентом об участниках операции (сделки), содержит неверные (заведомо ложные) сведения</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отсутствие очевидной связи между характером и родом деятельности клиента с услугами, за которыми клиент обращается к лицу, представляющему сведение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129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запутанный или необычный характер операции (сделки), не имеющей очевидного экономического смысла или очевидной законной цели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несоответствие сделки (операции) целям деятельности организации, </w:t>
            </w:r>
            <w:r w:rsidRPr="0040156B">
              <w:rPr>
                <w:rFonts w:ascii="Times New Roman" w:hAnsi="Times New Roman" w:cs="Times New Roman"/>
                <w:sz w:val="24"/>
                <w:szCs w:val="24"/>
              </w:rPr>
              <w:lastRenderedPageBreak/>
              <w:t>установленным учредительными документами этой организации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90014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131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выявление неоднократного совершения операций (сделок), характер которых дает основание полагать, что целью их осуществления является уклонение от процедур обязательного контроля, предусмотренных Законом Кыргызской Республики "О противодействии </w:t>
            </w:r>
            <w:r w:rsidR="00D47FCD">
              <w:rPr>
                <w:rFonts w:ascii="Times New Roman" w:hAnsi="Times New Roman" w:cs="Times New Roman"/>
                <w:sz w:val="24"/>
                <w:szCs w:val="24"/>
              </w:rPr>
              <w:t>легализации (отмыванию) преступных доходов и финансированию террористической или экстремистской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немотивированное требование клиента о расторжении договора и/или возврате уплаченных клиентом денежных средств до фактического осуществления операции (сделки)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существенное отклонение суммы сделки относительно действующих рыночных цен, в том числе по настоянию клиента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операции (сделки)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оффшорной зоне либо одной из сторон является лицо, являющееся владельцем счета в банке, зарегистрированном в оффшорной зоне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операции (сделки) в случае если хотя бы одной из сторон является физическое или юридическое лицо, которое является бенефициарным собственником (равной 5-ти и более процентов в доле общества или акций), имеющее соответственно регистрацию, место жительства или место нахождения в оффшорной зоне, либо одной из сторон является лицо, являющееся владельцем счета в банке, зарегистрированном в оффшорной зоне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90019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операции (сделки) с денежными средствами или имуществом в случае, если хотя бы одной из сторон, участвующих в этих операциях (сделках), является физическое или юридическое лицо, в отношении которого имеются сведения о причастности к экстремистской или террористической деятельности либо распространению оружия массового поражения либо физическое или юридическое лицо, прямо или косвенно находящееся в собственности или под контролем таких лиц, либо физическое или юридическое лицо, действующее от имени или по указанию таких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другие виды операций (сделок),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высокорискованном государстве (территории)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затягивание клиентом в предоставлении (неоправданная задержка) или отказ клиента предоставить информации и документов, необходимых для идентификации клиента и бенефициарного собственника (выгодоприобретателя) и определения уровня риска осуществления кл</w:t>
            </w:r>
            <w:r w:rsidR="00D47FCD">
              <w:rPr>
                <w:rFonts w:ascii="Times New Roman" w:hAnsi="Times New Roman" w:cs="Times New Roman"/>
                <w:sz w:val="24"/>
                <w:szCs w:val="24"/>
              </w:rPr>
              <w:t>иентом финансирования террористической деятельности (экстремистской деятельности</w:t>
            </w:r>
            <w:r w:rsidRPr="0040156B">
              <w:rPr>
                <w:rFonts w:ascii="Times New Roman" w:hAnsi="Times New Roman" w:cs="Times New Roman"/>
                <w:sz w:val="24"/>
                <w:szCs w:val="24"/>
              </w:rPr>
              <w:t>) и легализации (отмывания)</w:t>
            </w:r>
            <w:r w:rsidR="00D47FCD">
              <w:rPr>
                <w:rFonts w:ascii="Times New Roman" w:hAnsi="Times New Roman" w:cs="Times New Roman"/>
                <w:sz w:val="24"/>
                <w:szCs w:val="24"/>
              </w:rPr>
              <w:t xml:space="preserve"> преступных доходов</w:t>
            </w:r>
            <w:r w:rsidRPr="0040156B">
              <w:rPr>
                <w:rFonts w:ascii="Times New Roman" w:hAnsi="Times New Roman" w:cs="Times New Roman"/>
                <w:sz w:val="24"/>
                <w:szCs w:val="24"/>
              </w:rPr>
              <w:t>, а также возникшие сложности при верификации предоставленных клиентом сведений, или невозможно их верифицировать</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139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подозрение на предъявление финансовому агенту поддельных документов, свидетельствующих о наличии денежного требования клиента к должнику (договора с должником, документов, подтверждающих поставку товара (накладных, актов), счетов-фактур и т.д.)</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lastRenderedPageBreak/>
              <w:t>140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случае если гражданин иностранного государства не имеет разрешения на работу и не имеет визы, выдаваемые уполномоченными органами Кыргызской Республики, и при этом производит переводы денежных средств с основаниями совершения платежа за товары и услуги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немотивированный отказ клиента в предоставлении сведений об источниках происхождения денежных средств, являющихся основанием совершения платежа "материальная помощь, спонсорская помощь"</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немотивированный отказ клиента в предоставлении копий договоров, соглашений, являющихся основанием совершения платежа.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случае если одно физическое или юридическое лицо является бенефициарным собственником и руководителем более двух юридических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случае если по одному юридическому адресу зарегистрированы более двух юридических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случае если бенефициар или руководитель организации, или учреждения является гражданином иностранного государства и имеет долю в организации или учреждении 5 и более процентов от общего уставного капитала или акций, и при этом не имеет разрешения на работу и не имеет визы, выдаваемые уполномоченными органами Кыргызской Республики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90029</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в случае если лицо на момент проведения тендера по государственным закупкам работ или услуг, и оплаты залогового обеспечения, имеет регистрацию в государственных органах срок не более трех месяцев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90030</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147</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сделки (отчуждение, приобретение, регистрация) по автотранспортным средствам с годом выпуска за последние 5 лет с объемом двигателя равной и более 2000 куб. см</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90031</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148</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сделки по систематическому оформлению автотранспортных средств на одно и тоже лицо</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90032</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149</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сделки с недвижимостью, при которых уплачивается государственная пошлина в сумме от 15000 сом и выше для физических лиц</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90033</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150</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сделки с недвижимостью, при которых уплачивается государственная пошлина в сумме от 20000 сом и выше при уплате юридическими лицами в гг. Бишкек, Ош и Чолпон-Ата</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90034</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151</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предложение или попытка клиента совершить сделку с недвижимым имуществом, на которое наложено обременение</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90035</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152</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совершение сделки с недвижимым имуществом по цене, ниже рыночной в 2 и более раз</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90036</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153</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неоднократная покупка и/или продажа физическим лицом объектов недвижимости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90037</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154</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неоднократное совершение физическим лицом сделок с одним объектом недвижимости</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90038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155</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иные обстоятельства дающие основания полагать, что сделки осуществляются в</w:t>
            </w:r>
            <w:r w:rsidR="00C07668">
              <w:rPr>
                <w:rFonts w:ascii="Times New Roman" w:hAnsi="Times New Roman" w:cs="Times New Roman"/>
                <w:sz w:val="24"/>
                <w:szCs w:val="24"/>
              </w:rPr>
              <w:t xml:space="preserve"> целях финансирования террористической деятельности (экстремистской деятельности</w:t>
            </w:r>
            <w:r w:rsidRPr="0040156B">
              <w:rPr>
                <w:rFonts w:ascii="Times New Roman" w:hAnsi="Times New Roman" w:cs="Times New Roman"/>
                <w:sz w:val="24"/>
                <w:szCs w:val="24"/>
              </w:rPr>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90098</w:t>
            </w:r>
          </w:p>
        </w:tc>
      </w:tr>
      <w:tr w:rsidR="0040156B" w:rsidRPr="0040156B" w:rsidTr="00376499">
        <w:tc>
          <w:tcPr>
            <w:tcW w:w="3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156</w:t>
            </w:r>
          </w:p>
        </w:tc>
        <w:tc>
          <w:tcPr>
            <w:tcW w:w="4215"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 xml:space="preserve">иные обстоятельства дающие основания полагать, что сделки осуществляются в целях легализации (отмывания) </w:t>
            </w:r>
            <w:r w:rsidR="00C07668">
              <w:rPr>
                <w:rFonts w:ascii="Times New Roman" w:hAnsi="Times New Roman" w:cs="Times New Roman"/>
                <w:sz w:val="24"/>
                <w:szCs w:val="24"/>
              </w:rPr>
              <w:t>преступных доходов</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40156B" w:rsidRPr="0040156B" w:rsidRDefault="0040156B" w:rsidP="00CF1CD0">
            <w:pPr>
              <w:pStyle w:val="tkTablica"/>
              <w:spacing w:after="0" w:line="240" w:lineRule="auto"/>
              <w:jc w:val="both"/>
              <w:rPr>
                <w:rFonts w:ascii="Times New Roman" w:hAnsi="Times New Roman" w:cs="Times New Roman"/>
                <w:sz w:val="24"/>
                <w:szCs w:val="24"/>
              </w:rPr>
            </w:pPr>
            <w:r w:rsidRPr="0040156B">
              <w:rPr>
                <w:rFonts w:ascii="Times New Roman" w:hAnsi="Times New Roman" w:cs="Times New Roman"/>
                <w:sz w:val="24"/>
                <w:szCs w:val="24"/>
              </w:rPr>
              <w:t>90099</w:t>
            </w:r>
          </w:p>
        </w:tc>
      </w:tr>
    </w:tbl>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 </w:t>
      </w:r>
    </w:p>
    <w:p w:rsidR="00CF1CD0" w:rsidRDefault="00CF1CD0" w:rsidP="00CF1CD0">
      <w:pPr>
        <w:pStyle w:val="tkTekst"/>
        <w:spacing w:after="0" w:line="240" w:lineRule="auto"/>
        <w:rPr>
          <w:rFonts w:ascii="Times New Roman" w:hAnsi="Times New Roman" w:cs="Times New Roman"/>
          <w:sz w:val="24"/>
          <w:szCs w:val="24"/>
        </w:rPr>
      </w:pPr>
    </w:p>
    <w:p w:rsidR="00CF1CD0" w:rsidRDefault="00CF1CD0" w:rsidP="00CF1CD0">
      <w:pPr>
        <w:pStyle w:val="tkTekst"/>
        <w:spacing w:after="0" w:line="240" w:lineRule="auto"/>
        <w:rPr>
          <w:rFonts w:ascii="Times New Roman" w:hAnsi="Times New Roman" w:cs="Times New Roman"/>
          <w:sz w:val="24"/>
          <w:szCs w:val="24"/>
        </w:rPr>
      </w:pPr>
    </w:p>
    <w:p w:rsidR="00CF1CD0" w:rsidRDefault="00CF1CD0" w:rsidP="00CF1CD0">
      <w:pPr>
        <w:pStyle w:val="tkTekst"/>
        <w:spacing w:after="0" w:line="240" w:lineRule="auto"/>
        <w:rPr>
          <w:rFonts w:ascii="Times New Roman" w:hAnsi="Times New Roman" w:cs="Times New Roman"/>
          <w:sz w:val="24"/>
          <w:szCs w:val="24"/>
        </w:rPr>
      </w:pP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lastRenderedPageBreak/>
        <w:t>Примечания:</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1. В целях выявления подозрительных операций (сделок) с денежными средствами или имуществом, лица, представляющие сведения, проводят работу по постоянной надлежащей проверке клиентов.</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Постоянная надлежащая проверка клиентов включает мониторинг и анализ операций (сделок), проведенных в ходе деловых отношений, чтобы убедиться, что эти операции (сделки) проводятся в соответствии с идентификационными сведениями о клиенте, заявленной целью и предполагаемым характером деловых отношений, деловым профилем и профилем риска, а также при необходимости источником средств клиента.</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2. В случае, если лица, представляющие сведения, не смогут выполнить требования по идентификации и верификации клиента, бенефициарного собственника (выгодоприобретателя), а также не могут получить информацию о цели и предполагаемом характере деловых отношений с клиентом, лица, представляющие сведения, должны направить в ГСФР сообщение о подозрительной операции (сделке).</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3. Требование пунктов 1 и 2 настоящего примечания также следует применять в отношении клиентов, с которыми установлены деловые отношения (существующие клиенты).</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4. Сообщение о подозрительной операции (сделки) формируется по результатам анализа операции (сделки) клиента, с учетом критериев (признаков) подозрительных операций (сделок), и направляется в ГСФР только при наличии разумных и обоснованных подозрений.</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5. Лица, представляющие сведения, должны направлять в ГСФР сообщение о подозрительной операции (сделке) при попытке совершения клиентом подозрительной операции (сделки).</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6. В перечне подозрительных операций (сделок) с кодами, заканчивающимися на "99", при проставлении соответствующего кода, необходимо в поле 3.16 Формы 1 указать описание критерия подозрительной операции (сделки).</w:t>
      </w:r>
    </w:p>
    <w:p w:rsidR="0040156B" w:rsidRPr="0040156B" w:rsidRDefault="0040156B" w:rsidP="00CF1CD0">
      <w:pPr>
        <w:pStyle w:val="tkTekst"/>
        <w:spacing w:after="0" w:line="240" w:lineRule="auto"/>
        <w:rPr>
          <w:rFonts w:ascii="Times New Roman" w:hAnsi="Times New Roman" w:cs="Times New Roman"/>
          <w:sz w:val="24"/>
          <w:szCs w:val="24"/>
        </w:rPr>
      </w:pPr>
      <w:r w:rsidRPr="0040156B">
        <w:rPr>
          <w:rFonts w:ascii="Times New Roman" w:hAnsi="Times New Roman" w:cs="Times New Roman"/>
          <w:sz w:val="24"/>
          <w:szCs w:val="24"/>
        </w:rPr>
        <w:t> </w:t>
      </w:r>
    </w:p>
    <w:p w:rsidR="002C16A9" w:rsidRPr="0040156B" w:rsidRDefault="002C16A9" w:rsidP="00CF1CD0">
      <w:pPr>
        <w:spacing w:after="0" w:line="240" w:lineRule="auto"/>
        <w:rPr>
          <w:rFonts w:ascii="Times New Roman" w:hAnsi="Times New Roman"/>
          <w:sz w:val="24"/>
          <w:szCs w:val="24"/>
        </w:rPr>
      </w:pPr>
    </w:p>
    <w:sectPr w:rsidR="002C16A9" w:rsidRPr="0040156B" w:rsidSect="00CF1CD0">
      <w:footerReference w:type="default" r:id="rId6"/>
      <w:pgSz w:w="11906" w:h="16838"/>
      <w:pgMar w:top="1134" w:right="851" w:bottom="1134" w:left="1701"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FB1" w:rsidRDefault="00AD5FB1" w:rsidP="0040156B">
      <w:pPr>
        <w:spacing w:after="0" w:line="240" w:lineRule="auto"/>
      </w:pPr>
      <w:r>
        <w:separator/>
      </w:r>
    </w:p>
  </w:endnote>
  <w:endnote w:type="continuationSeparator" w:id="0">
    <w:p w:rsidR="00AD5FB1" w:rsidRDefault="00AD5FB1" w:rsidP="0040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213412"/>
      <w:docPartObj>
        <w:docPartGallery w:val="Page Numbers (Bottom of Page)"/>
        <w:docPartUnique/>
      </w:docPartObj>
    </w:sdtPr>
    <w:sdtEndPr>
      <w:rPr>
        <w:rFonts w:ascii="Times New Roman" w:hAnsi="Times New Roman"/>
        <w:sz w:val="24"/>
        <w:szCs w:val="24"/>
      </w:rPr>
    </w:sdtEndPr>
    <w:sdtContent>
      <w:p w:rsidR="0060647E" w:rsidRPr="0060647E" w:rsidRDefault="0060647E">
        <w:pPr>
          <w:pStyle w:val="a5"/>
          <w:jc w:val="right"/>
          <w:rPr>
            <w:rFonts w:ascii="Times New Roman" w:hAnsi="Times New Roman"/>
            <w:sz w:val="24"/>
            <w:szCs w:val="24"/>
          </w:rPr>
        </w:pPr>
        <w:r w:rsidRPr="0060647E">
          <w:rPr>
            <w:rFonts w:ascii="Times New Roman" w:hAnsi="Times New Roman"/>
            <w:sz w:val="24"/>
            <w:szCs w:val="24"/>
          </w:rPr>
          <w:fldChar w:fldCharType="begin"/>
        </w:r>
        <w:r w:rsidRPr="0060647E">
          <w:rPr>
            <w:rFonts w:ascii="Times New Roman" w:hAnsi="Times New Roman"/>
            <w:sz w:val="24"/>
            <w:szCs w:val="24"/>
          </w:rPr>
          <w:instrText>PAGE   \* MERGEFORMAT</w:instrText>
        </w:r>
        <w:r w:rsidRPr="0060647E">
          <w:rPr>
            <w:rFonts w:ascii="Times New Roman" w:hAnsi="Times New Roman"/>
            <w:sz w:val="24"/>
            <w:szCs w:val="24"/>
          </w:rPr>
          <w:fldChar w:fldCharType="separate"/>
        </w:r>
        <w:r w:rsidR="00B9782E">
          <w:rPr>
            <w:rFonts w:ascii="Times New Roman" w:hAnsi="Times New Roman"/>
            <w:noProof/>
            <w:sz w:val="24"/>
            <w:szCs w:val="24"/>
          </w:rPr>
          <w:t>9</w:t>
        </w:r>
        <w:r w:rsidRPr="0060647E">
          <w:rPr>
            <w:rFonts w:ascii="Times New Roman" w:hAnsi="Times New Roman"/>
            <w:sz w:val="24"/>
            <w:szCs w:val="24"/>
          </w:rPr>
          <w:fldChar w:fldCharType="end"/>
        </w:r>
      </w:p>
    </w:sdtContent>
  </w:sdt>
  <w:p w:rsidR="0060647E" w:rsidRDefault="0060647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FB1" w:rsidRDefault="00AD5FB1" w:rsidP="0040156B">
      <w:pPr>
        <w:spacing w:after="0" w:line="240" w:lineRule="auto"/>
      </w:pPr>
      <w:r>
        <w:separator/>
      </w:r>
    </w:p>
  </w:footnote>
  <w:footnote w:type="continuationSeparator" w:id="0">
    <w:p w:rsidR="00AD5FB1" w:rsidRDefault="00AD5FB1" w:rsidP="004015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0156B"/>
    <w:rsid w:val="00001A02"/>
    <w:rsid w:val="00032B33"/>
    <w:rsid w:val="0004363F"/>
    <w:rsid w:val="00044003"/>
    <w:rsid w:val="000573CD"/>
    <w:rsid w:val="00063DF7"/>
    <w:rsid w:val="0008158E"/>
    <w:rsid w:val="000950E2"/>
    <w:rsid w:val="00096778"/>
    <w:rsid w:val="000B5EBE"/>
    <w:rsid w:val="000C0B7F"/>
    <w:rsid w:val="000C549D"/>
    <w:rsid w:val="000E094C"/>
    <w:rsid w:val="000E37E5"/>
    <w:rsid w:val="00101C65"/>
    <w:rsid w:val="001046DA"/>
    <w:rsid w:val="00110674"/>
    <w:rsid w:val="0011579C"/>
    <w:rsid w:val="0012535D"/>
    <w:rsid w:val="00130E9F"/>
    <w:rsid w:val="0014383E"/>
    <w:rsid w:val="00144E4C"/>
    <w:rsid w:val="00145F00"/>
    <w:rsid w:val="00153779"/>
    <w:rsid w:val="001558B7"/>
    <w:rsid w:val="00160F87"/>
    <w:rsid w:val="00186151"/>
    <w:rsid w:val="00193CBA"/>
    <w:rsid w:val="001E0FDA"/>
    <w:rsid w:val="001E2E9D"/>
    <w:rsid w:val="00207CAD"/>
    <w:rsid w:val="00215806"/>
    <w:rsid w:val="002A5750"/>
    <w:rsid w:val="002C16A9"/>
    <w:rsid w:val="002C60A3"/>
    <w:rsid w:val="002D1F6B"/>
    <w:rsid w:val="002D2C8E"/>
    <w:rsid w:val="002E19C7"/>
    <w:rsid w:val="00312566"/>
    <w:rsid w:val="003215FA"/>
    <w:rsid w:val="00321D16"/>
    <w:rsid w:val="0033084D"/>
    <w:rsid w:val="00332282"/>
    <w:rsid w:val="00341FEA"/>
    <w:rsid w:val="00356E10"/>
    <w:rsid w:val="00376499"/>
    <w:rsid w:val="00376997"/>
    <w:rsid w:val="00380F96"/>
    <w:rsid w:val="003A3A50"/>
    <w:rsid w:val="003B6011"/>
    <w:rsid w:val="003C347F"/>
    <w:rsid w:val="003D3AF7"/>
    <w:rsid w:val="003E0D73"/>
    <w:rsid w:val="0040156B"/>
    <w:rsid w:val="00404622"/>
    <w:rsid w:val="00404B3D"/>
    <w:rsid w:val="00407C06"/>
    <w:rsid w:val="004209DC"/>
    <w:rsid w:val="00445C4F"/>
    <w:rsid w:val="00454AC4"/>
    <w:rsid w:val="00462A0E"/>
    <w:rsid w:val="0048409F"/>
    <w:rsid w:val="00493FA3"/>
    <w:rsid w:val="00497EE2"/>
    <w:rsid w:val="004C5B56"/>
    <w:rsid w:val="004C7A22"/>
    <w:rsid w:val="004D73E9"/>
    <w:rsid w:val="004F1C60"/>
    <w:rsid w:val="004F3701"/>
    <w:rsid w:val="004F793C"/>
    <w:rsid w:val="005203F1"/>
    <w:rsid w:val="00570669"/>
    <w:rsid w:val="005753E8"/>
    <w:rsid w:val="00590064"/>
    <w:rsid w:val="00590D3F"/>
    <w:rsid w:val="00597E67"/>
    <w:rsid w:val="005B4539"/>
    <w:rsid w:val="005C6590"/>
    <w:rsid w:val="00605717"/>
    <w:rsid w:val="0060647E"/>
    <w:rsid w:val="0061464B"/>
    <w:rsid w:val="00623E59"/>
    <w:rsid w:val="00634E0B"/>
    <w:rsid w:val="00635774"/>
    <w:rsid w:val="00637506"/>
    <w:rsid w:val="0064230F"/>
    <w:rsid w:val="00647EAC"/>
    <w:rsid w:val="00661483"/>
    <w:rsid w:val="0066567D"/>
    <w:rsid w:val="00667C6C"/>
    <w:rsid w:val="0068052F"/>
    <w:rsid w:val="006A6273"/>
    <w:rsid w:val="006A6DC0"/>
    <w:rsid w:val="006B1FFE"/>
    <w:rsid w:val="006B7B9C"/>
    <w:rsid w:val="006E0856"/>
    <w:rsid w:val="006E12DE"/>
    <w:rsid w:val="006E6119"/>
    <w:rsid w:val="00704AF1"/>
    <w:rsid w:val="00707651"/>
    <w:rsid w:val="00711861"/>
    <w:rsid w:val="00723E5E"/>
    <w:rsid w:val="007247C7"/>
    <w:rsid w:val="00746227"/>
    <w:rsid w:val="00760FF8"/>
    <w:rsid w:val="00776125"/>
    <w:rsid w:val="00786EB6"/>
    <w:rsid w:val="00790447"/>
    <w:rsid w:val="00792401"/>
    <w:rsid w:val="007A27B7"/>
    <w:rsid w:val="007B0DF4"/>
    <w:rsid w:val="007B27E3"/>
    <w:rsid w:val="007B6D87"/>
    <w:rsid w:val="007E2E6D"/>
    <w:rsid w:val="007E491B"/>
    <w:rsid w:val="007F06F3"/>
    <w:rsid w:val="007F4718"/>
    <w:rsid w:val="0081072B"/>
    <w:rsid w:val="00831AF2"/>
    <w:rsid w:val="00854567"/>
    <w:rsid w:val="00872BC5"/>
    <w:rsid w:val="00881B57"/>
    <w:rsid w:val="00883F15"/>
    <w:rsid w:val="00890819"/>
    <w:rsid w:val="008938D3"/>
    <w:rsid w:val="008A50B1"/>
    <w:rsid w:val="008A637E"/>
    <w:rsid w:val="008A753F"/>
    <w:rsid w:val="008B3A96"/>
    <w:rsid w:val="008C52D3"/>
    <w:rsid w:val="008F1FB9"/>
    <w:rsid w:val="0090210E"/>
    <w:rsid w:val="009416E6"/>
    <w:rsid w:val="00942193"/>
    <w:rsid w:val="009734EB"/>
    <w:rsid w:val="00977572"/>
    <w:rsid w:val="00977B58"/>
    <w:rsid w:val="00981032"/>
    <w:rsid w:val="009848AF"/>
    <w:rsid w:val="00995330"/>
    <w:rsid w:val="0099687B"/>
    <w:rsid w:val="00997549"/>
    <w:rsid w:val="009B5F50"/>
    <w:rsid w:val="009B6D05"/>
    <w:rsid w:val="009D160E"/>
    <w:rsid w:val="009D26BA"/>
    <w:rsid w:val="00A05EBB"/>
    <w:rsid w:val="00A445D2"/>
    <w:rsid w:val="00A44809"/>
    <w:rsid w:val="00A45961"/>
    <w:rsid w:val="00A5210A"/>
    <w:rsid w:val="00A5601F"/>
    <w:rsid w:val="00A73FFD"/>
    <w:rsid w:val="00AA5BB6"/>
    <w:rsid w:val="00AD2AF6"/>
    <w:rsid w:val="00AD5FB1"/>
    <w:rsid w:val="00B1244C"/>
    <w:rsid w:val="00B20746"/>
    <w:rsid w:val="00B25680"/>
    <w:rsid w:val="00B352AD"/>
    <w:rsid w:val="00B406E8"/>
    <w:rsid w:val="00B4096D"/>
    <w:rsid w:val="00B80999"/>
    <w:rsid w:val="00B94CEC"/>
    <w:rsid w:val="00B9782E"/>
    <w:rsid w:val="00BA08A6"/>
    <w:rsid w:val="00BA4FE0"/>
    <w:rsid w:val="00BB63C2"/>
    <w:rsid w:val="00BC1586"/>
    <w:rsid w:val="00BC1D49"/>
    <w:rsid w:val="00C01FDD"/>
    <w:rsid w:val="00C062B1"/>
    <w:rsid w:val="00C07668"/>
    <w:rsid w:val="00C56D05"/>
    <w:rsid w:val="00C61203"/>
    <w:rsid w:val="00C632BE"/>
    <w:rsid w:val="00CA15B0"/>
    <w:rsid w:val="00CC67CA"/>
    <w:rsid w:val="00CF1CD0"/>
    <w:rsid w:val="00D37D6E"/>
    <w:rsid w:val="00D47FCD"/>
    <w:rsid w:val="00D75CC0"/>
    <w:rsid w:val="00D76420"/>
    <w:rsid w:val="00D852DD"/>
    <w:rsid w:val="00DB13AB"/>
    <w:rsid w:val="00DB1FFD"/>
    <w:rsid w:val="00DD5F0E"/>
    <w:rsid w:val="00DD79FC"/>
    <w:rsid w:val="00DE5800"/>
    <w:rsid w:val="00DE7CE1"/>
    <w:rsid w:val="00DF269A"/>
    <w:rsid w:val="00DF7E7B"/>
    <w:rsid w:val="00E07973"/>
    <w:rsid w:val="00E23010"/>
    <w:rsid w:val="00E41956"/>
    <w:rsid w:val="00E54AFD"/>
    <w:rsid w:val="00E82C43"/>
    <w:rsid w:val="00E900E3"/>
    <w:rsid w:val="00E920AA"/>
    <w:rsid w:val="00EC28AF"/>
    <w:rsid w:val="00ED2BCA"/>
    <w:rsid w:val="00ED7E5C"/>
    <w:rsid w:val="00EE2201"/>
    <w:rsid w:val="00EF001E"/>
    <w:rsid w:val="00F01541"/>
    <w:rsid w:val="00F12166"/>
    <w:rsid w:val="00F24BF1"/>
    <w:rsid w:val="00F260A2"/>
    <w:rsid w:val="00F348BD"/>
    <w:rsid w:val="00F3643F"/>
    <w:rsid w:val="00F53248"/>
    <w:rsid w:val="00F563C9"/>
    <w:rsid w:val="00F66CD8"/>
    <w:rsid w:val="00F8362B"/>
    <w:rsid w:val="00F92BAA"/>
    <w:rsid w:val="00FA7A5E"/>
    <w:rsid w:val="00FB470D"/>
    <w:rsid w:val="00FB7E67"/>
    <w:rsid w:val="00FC590C"/>
    <w:rsid w:val="00FD3590"/>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483956-315D-4CDF-A0E6-B8CF0DB0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56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40156B"/>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40156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0156B"/>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0156B"/>
    <w:pPr>
      <w:spacing w:after="60" w:line="276" w:lineRule="auto"/>
    </w:pPr>
    <w:rPr>
      <w:rFonts w:ascii="Arial" w:eastAsia="Times New Roman" w:hAnsi="Arial" w:cs="Arial"/>
      <w:sz w:val="20"/>
      <w:szCs w:val="20"/>
      <w:lang w:eastAsia="ru-RU"/>
    </w:rPr>
  </w:style>
  <w:style w:type="paragraph" w:styleId="a3">
    <w:name w:val="header"/>
    <w:basedOn w:val="a"/>
    <w:link w:val="a4"/>
    <w:uiPriority w:val="99"/>
    <w:unhideWhenUsed/>
    <w:rsid w:val="00401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156B"/>
    <w:rPr>
      <w:rFonts w:ascii="Calibri" w:eastAsia="Calibri" w:hAnsi="Calibri" w:cs="Times New Roman"/>
    </w:rPr>
  </w:style>
  <w:style w:type="paragraph" w:styleId="a5">
    <w:name w:val="footer"/>
    <w:basedOn w:val="a"/>
    <w:link w:val="a6"/>
    <w:uiPriority w:val="99"/>
    <w:unhideWhenUsed/>
    <w:rsid w:val="00401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156B"/>
    <w:rPr>
      <w:rFonts w:ascii="Calibri" w:eastAsia="Calibri" w:hAnsi="Calibri" w:cs="Times New Roman"/>
    </w:rPr>
  </w:style>
  <w:style w:type="paragraph" w:styleId="a7">
    <w:name w:val="Balloon Text"/>
    <w:basedOn w:val="a"/>
    <w:link w:val="a8"/>
    <w:uiPriority w:val="99"/>
    <w:semiHidden/>
    <w:unhideWhenUsed/>
    <w:rsid w:val="004C7A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C7A2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6396</Words>
  <Characters>36458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Келдибекова Алтынай</cp:lastModifiedBy>
  <cp:revision>16</cp:revision>
  <cp:lastPrinted>2017-01-16T03:08:00Z</cp:lastPrinted>
  <dcterms:created xsi:type="dcterms:W3CDTF">2016-09-09T10:24:00Z</dcterms:created>
  <dcterms:modified xsi:type="dcterms:W3CDTF">2017-01-17T06:28:00Z</dcterms:modified>
</cp:coreProperties>
</file>